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0314" w14:textId="77777777" w:rsidR="009C63BF" w:rsidRDefault="009C63BF" w:rsidP="009C63BF">
      <w:pPr>
        <w:jc w:val="center"/>
        <w:rPr>
          <w:b/>
          <w:sz w:val="28"/>
        </w:rPr>
      </w:pPr>
    </w:p>
    <w:p w14:paraId="306158F1" w14:textId="77777777" w:rsidR="00AD5A70" w:rsidRDefault="009C63BF" w:rsidP="009C63BF">
      <w:pPr>
        <w:jc w:val="center"/>
        <w:rPr>
          <w:b/>
          <w:sz w:val="28"/>
        </w:rPr>
      </w:pPr>
      <w:r>
        <w:rPr>
          <w:b/>
          <w:sz w:val="28"/>
        </w:rPr>
        <w:t>Interpretation</w:t>
      </w:r>
      <w:r w:rsidR="00AD5A70">
        <w:rPr>
          <w:b/>
          <w:sz w:val="28"/>
        </w:rPr>
        <w:t xml:space="preserve"> of </w:t>
      </w:r>
    </w:p>
    <w:p w14:paraId="477B9D78" w14:textId="18E12808" w:rsidR="00CA51EA" w:rsidRDefault="00AD5A70" w:rsidP="009C63BF">
      <w:pPr>
        <w:jc w:val="center"/>
        <w:rPr>
          <w:b/>
          <w:sz w:val="28"/>
        </w:rPr>
      </w:pPr>
      <w:r>
        <w:rPr>
          <w:b/>
          <w:sz w:val="28"/>
        </w:rPr>
        <w:t>ANSI/AM</w:t>
      </w:r>
      <w:r w:rsidR="00D53D7D">
        <w:rPr>
          <w:b/>
          <w:sz w:val="28"/>
        </w:rPr>
        <w:t>C</w:t>
      </w:r>
      <w:r>
        <w:rPr>
          <w:b/>
          <w:sz w:val="28"/>
        </w:rPr>
        <w:t>A Standard 99-2016</w:t>
      </w:r>
    </w:p>
    <w:p w14:paraId="708FC5DF" w14:textId="77777777" w:rsidR="00CA51EA" w:rsidRDefault="00CA51EA" w:rsidP="009C63BF">
      <w:pPr>
        <w:jc w:val="center"/>
        <w:rPr>
          <w:b/>
          <w:sz w:val="28"/>
        </w:rPr>
      </w:pPr>
      <w:r>
        <w:rPr>
          <w:b/>
          <w:sz w:val="28"/>
        </w:rPr>
        <w:t xml:space="preserve">Standards </w:t>
      </w:r>
      <w:proofErr w:type="spellStart"/>
      <w:r>
        <w:rPr>
          <w:b/>
          <w:sz w:val="28"/>
        </w:rPr>
        <w:t>HandBook</w:t>
      </w:r>
      <w:proofErr w:type="spellEnd"/>
    </w:p>
    <w:p w14:paraId="1B41D7C1" w14:textId="63A193FD" w:rsidR="009C63BF" w:rsidRDefault="00CA51EA" w:rsidP="009C63BF">
      <w:pPr>
        <w:jc w:val="center"/>
        <w:rPr>
          <w:b/>
          <w:sz w:val="28"/>
        </w:rPr>
      </w:pPr>
      <w:r>
        <w:rPr>
          <w:b/>
          <w:sz w:val="28"/>
        </w:rPr>
        <w:t>Section 8, Classification for Spark Resistant Construct</w:t>
      </w:r>
      <w:r w:rsidR="007D6FA0">
        <w:rPr>
          <w:b/>
          <w:sz w:val="28"/>
        </w:rPr>
        <w:t>i</w:t>
      </w:r>
      <w:r>
        <w:rPr>
          <w:b/>
          <w:sz w:val="28"/>
        </w:rPr>
        <w:t>on</w:t>
      </w:r>
      <w:r w:rsidR="009C63BF">
        <w:rPr>
          <w:b/>
          <w:sz w:val="28"/>
        </w:rPr>
        <w:t xml:space="preserve"> </w:t>
      </w:r>
    </w:p>
    <w:p w14:paraId="252DECE9" w14:textId="77777777" w:rsidR="009942F7" w:rsidRDefault="009942F7" w:rsidP="009C63BF">
      <w:pPr>
        <w:jc w:val="center"/>
        <w:rPr>
          <w:bCs/>
          <w:sz w:val="28"/>
        </w:rPr>
      </w:pPr>
    </w:p>
    <w:p w14:paraId="47FED783" w14:textId="11031EDA" w:rsidR="009C63BF" w:rsidRDefault="009C63BF" w:rsidP="009C63BF">
      <w:pPr>
        <w:jc w:val="center"/>
        <w:rPr>
          <w:bCs/>
          <w:sz w:val="28"/>
        </w:rPr>
      </w:pPr>
      <w:r w:rsidRPr="006C4479">
        <w:rPr>
          <w:bCs/>
          <w:sz w:val="28"/>
        </w:rPr>
        <w:t>(</w:t>
      </w:r>
      <w:r w:rsidR="009942F7">
        <w:rPr>
          <w:bCs/>
          <w:sz w:val="28"/>
        </w:rPr>
        <w:t>Approved 11/9/22</w:t>
      </w:r>
      <w:r w:rsidRPr="006C4479">
        <w:rPr>
          <w:bCs/>
          <w:sz w:val="28"/>
        </w:rPr>
        <w:t>)</w:t>
      </w:r>
    </w:p>
    <w:p w14:paraId="2FED7A65" w14:textId="77777777" w:rsidR="005D53C9" w:rsidRDefault="005D53C9" w:rsidP="009C63BF">
      <w:pPr>
        <w:jc w:val="center"/>
        <w:rPr>
          <w:bCs/>
          <w:sz w:val="28"/>
        </w:rPr>
      </w:pPr>
    </w:p>
    <w:p w14:paraId="12329782" w14:textId="18BD3C60" w:rsidR="005D53C9" w:rsidRDefault="00D856E7" w:rsidP="00D856E7">
      <w:pPr>
        <w:rPr>
          <w:bCs/>
          <w:sz w:val="28"/>
        </w:rPr>
      </w:pPr>
      <w:r w:rsidRPr="001C7E93">
        <w:rPr>
          <w:b/>
          <w:sz w:val="28"/>
          <w:u w:val="single"/>
        </w:rPr>
        <w:t>Request from</w:t>
      </w:r>
      <w:r w:rsidRPr="007D6FA0">
        <w:rPr>
          <w:b/>
          <w:sz w:val="28"/>
        </w:rPr>
        <w:t>:</w:t>
      </w:r>
      <w:r>
        <w:rPr>
          <w:bCs/>
          <w:sz w:val="28"/>
        </w:rPr>
        <w:tab/>
        <w:t>Kaitlin Brown, Portsmouth Naval Shipyard</w:t>
      </w:r>
      <w:r w:rsidR="007D6FA0">
        <w:rPr>
          <w:bCs/>
          <w:sz w:val="28"/>
        </w:rPr>
        <w:t>, Kittery, ME    03904</w:t>
      </w:r>
    </w:p>
    <w:p w14:paraId="38B5D97B" w14:textId="77777777" w:rsidR="007D6FA0" w:rsidRDefault="007D6FA0" w:rsidP="00D856E7">
      <w:pPr>
        <w:rPr>
          <w:bCs/>
          <w:sz w:val="28"/>
        </w:rPr>
      </w:pPr>
    </w:p>
    <w:p w14:paraId="6277B7B2" w14:textId="1092E33A" w:rsidR="00FA48C0" w:rsidRDefault="00FA48C0" w:rsidP="00305103">
      <w:pPr>
        <w:ind w:left="2160" w:hanging="2160"/>
        <w:rPr>
          <w:bCs/>
          <w:sz w:val="28"/>
        </w:rPr>
      </w:pPr>
      <w:r w:rsidRPr="001C7E93">
        <w:rPr>
          <w:b/>
          <w:sz w:val="28"/>
          <w:u w:val="single"/>
        </w:rPr>
        <w:t>Reference</w:t>
      </w:r>
      <w:r w:rsidRPr="001C7E93">
        <w:rPr>
          <w:bCs/>
          <w:sz w:val="28"/>
          <w:u w:val="single"/>
        </w:rPr>
        <w:t>:</w:t>
      </w:r>
      <w:r>
        <w:rPr>
          <w:bCs/>
          <w:sz w:val="28"/>
        </w:rPr>
        <w:t xml:space="preserve">  </w:t>
      </w:r>
      <w:r w:rsidR="00305103">
        <w:rPr>
          <w:bCs/>
          <w:sz w:val="28"/>
        </w:rPr>
        <w:tab/>
      </w:r>
      <w:r>
        <w:rPr>
          <w:bCs/>
          <w:sz w:val="28"/>
        </w:rPr>
        <w:t>The request for interp</w:t>
      </w:r>
      <w:r w:rsidR="00466EE4">
        <w:rPr>
          <w:bCs/>
          <w:sz w:val="28"/>
        </w:rPr>
        <w:t>r</w:t>
      </w:r>
      <w:r>
        <w:rPr>
          <w:bCs/>
          <w:sz w:val="28"/>
        </w:rPr>
        <w:t>etations refer</w:t>
      </w:r>
      <w:r w:rsidR="00EE4593">
        <w:rPr>
          <w:bCs/>
          <w:sz w:val="28"/>
        </w:rPr>
        <w:t>s to the requirements presented in AMCA 99-16, Section 8</w:t>
      </w:r>
      <w:r w:rsidR="002E48C5">
        <w:rPr>
          <w:bCs/>
          <w:sz w:val="28"/>
        </w:rPr>
        <w:t>, Classification for Spark Resistant Construction</w:t>
      </w:r>
      <w:r w:rsidR="00D53579">
        <w:rPr>
          <w:bCs/>
          <w:sz w:val="28"/>
        </w:rPr>
        <w:t xml:space="preserve"> related to Type B Construction – Fan only</w:t>
      </w:r>
      <w:r w:rsidR="0094623E">
        <w:rPr>
          <w:bCs/>
          <w:sz w:val="28"/>
        </w:rPr>
        <w:t>.</w:t>
      </w:r>
    </w:p>
    <w:p w14:paraId="26CD9D79" w14:textId="77777777" w:rsidR="0094623E" w:rsidRDefault="0094623E" w:rsidP="00D856E7">
      <w:pPr>
        <w:rPr>
          <w:bCs/>
          <w:sz w:val="28"/>
        </w:rPr>
      </w:pPr>
    </w:p>
    <w:p w14:paraId="71C948AA" w14:textId="6E23D8D9" w:rsidR="0094623E" w:rsidRPr="00092A68" w:rsidRDefault="0094623E" w:rsidP="00D856E7">
      <w:pPr>
        <w:rPr>
          <w:bCs/>
          <w:sz w:val="28"/>
          <w:szCs w:val="28"/>
        </w:rPr>
      </w:pPr>
      <w:r w:rsidRPr="001C7E93">
        <w:rPr>
          <w:b/>
          <w:sz w:val="28"/>
          <w:szCs w:val="28"/>
          <w:u w:val="single"/>
        </w:rPr>
        <w:t>Background:</w:t>
      </w:r>
      <w:r w:rsidRPr="00092A68">
        <w:rPr>
          <w:bCs/>
          <w:sz w:val="28"/>
          <w:szCs w:val="28"/>
        </w:rPr>
        <w:t xml:space="preserve">  </w:t>
      </w:r>
      <w:r w:rsidR="00305103">
        <w:rPr>
          <w:bCs/>
          <w:sz w:val="28"/>
          <w:szCs w:val="28"/>
        </w:rPr>
        <w:tab/>
      </w:r>
      <w:r w:rsidRPr="00092A68">
        <w:rPr>
          <w:bCs/>
          <w:sz w:val="28"/>
          <w:szCs w:val="28"/>
        </w:rPr>
        <w:t xml:space="preserve">The standard for Fans, Type </w:t>
      </w:r>
      <w:r w:rsidR="008F0BFC" w:rsidRPr="00092A68">
        <w:rPr>
          <w:bCs/>
          <w:sz w:val="28"/>
          <w:szCs w:val="28"/>
        </w:rPr>
        <w:t>B</w:t>
      </w:r>
      <w:r w:rsidRPr="00092A68">
        <w:rPr>
          <w:bCs/>
          <w:sz w:val="28"/>
          <w:szCs w:val="28"/>
        </w:rPr>
        <w:t xml:space="preserve"> Spark Resistant Construction states</w:t>
      </w:r>
      <w:r w:rsidR="008F0BFC" w:rsidRPr="00092A68">
        <w:rPr>
          <w:bCs/>
          <w:sz w:val="28"/>
          <w:szCs w:val="28"/>
        </w:rPr>
        <w:t>,</w:t>
      </w:r>
    </w:p>
    <w:p w14:paraId="2461ED09" w14:textId="77777777" w:rsidR="008F0BFC" w:rsidRPr="00092A68" w:rsidRDefault="008F0BFC" w:rsidP="00D856E7">
      <w:pPr>
        <w:rPr>
          <w:bCs/>
          <w:sz w:val="28"/>
          <w:szCs w:val="28"/>
        </w:rPr>
      </w:pPr>
    </w:p>
    <w:p w14:paraId="34E22251" w14:textId="4BCA730D" w:rsidR="008F0BFC" w:rsidRPr="00092A68" w:rsidRDefault="008F0BFC" w:rsidP="00F85BC0">
      <w:pPr>
        <w:ind w:left="1440"/>
        <w:rPr>
          <w:sz w:val="28"/>
          <w:szCs w:val="28"/>
        </w:rPr>
      </w:pPr>
      <w:r w:rsidRPr="00092A68">
        <w:rPr>
          <w:bCs/>
          <w:sz w:val="28"/>
          <w:szCs w:val="28"/>
        </w:rPr>
        <w:t>“</w:t>
      </w:r>
      <w:r w:rsidRPr="00092A68">
        <w:rPr>
          <w:sz w:val="28"/>
          <w:szCs w:val="28"/>
        </w:rPr>
        <w:t xml:space="preserve">The fan shall have a nonferrous impeller and nonferrous ring about the opening through which the shaft passes. </w:t>
      </w:r>
      <w:r w:rsidRPr="00092A68">
        <w:rPr>
          <w:sz w:val="28"/>
          <w:szCs w:val="28"/>
          <w:highlight w:val="green"/>
        </w:rPr>
        <w:t>Ferrous hubs, shafts and hardware are allowed, provided construction is such that a shift of impeller or shaft will not permit two ferrous parts of the fan to rub or strike.</w:t>
      </w:r>
      <w:r w:rsidRPr="00092A68">
        <w:rPr>
          <w:sz w:val="28"/>
          <w:szCs w:val="28"/>
        </w:rPr>
        <w:t xml:space="preserve"> </w:t>
      </w:r>
      <w:r w:rsidRPr="00092A68">
        <w:rPr>
          <w:sz w:val="28"/>
          <w:szCs w:val="28"/>
          <w:highlight w:val="yellow"/>
        </w:rPr>
        <w:t xml:space="preserve">Steps must also be taken to assure that the impeller, </w:t>
      </w:r>
      <w:proofErr w:type="gramStart"/>
      <w:r w:rsidRPr="00092A68">
        <w:rPr>
          <w:sz w:val="28"/>
          <w:szCs w:val="28"/>
          <w:highlight w:val="yellow"/>
        </w:rPr>
        <w:t>bearings</w:t>
      </w:r>
      <w:proofErr w:type="gramEnd"/>
      <w:r w:rsidRPr="00092A68">
        <w:rPr>
          <w:sz w:val="28"/>
          <w:szCs w:val="28"/>
          <w:highlight w:val="yellow"/>
        </w:rPr>
        <w:t xml:space="preserve"> and shaft are adequately attached and/or restrained to prevent a lateral or axial shift in these components.”</w:t>
      </w:r>
    </w:p>
    <w:p w14:paraId="192FEA96" w14:textId="77777777" w:rsidR="0059324C" w:rsidRPr="00092A68" w:rsidRDefault="0059324C" w:rsidP="00D856E7">
      <w:pPr>
        <w:rPr>
          <w:sz w:val="28"/>
          <w:szCs w:val="28"/>
        </w:rPr>
      </w:pPr>
    </w:p>
    <w:p w14:paraId="24649374" w14:textId="4727E62B" w:rsidR="004C762F" w:rsidRDefault="00C5719E" w:rsidP="00092A68">
      <w:pPr>
        <w:ind w:left="2160" w:hanging="2160"/>
        <w:rPr>
          <w:sz w:val="28"/>
          <w:szCs w:val="28"/>
        </w:rPr>
      </w:pPr>
      <w:r w:rsidRPr="001C7E93">
        <w:rPr>
          <w:b/>
          <w:bCs/>
          <w:sz w:val="28"/>
          <w:szCs w:val="28"/>
          <w:u w:val="single"/>
        </w:rPr>
        <w:t>Interpretation:</w:t>
      </w:r>
      <w:r w:rsidRPr="00092A68">
        <w:rPr>
          <w:sz w:val="28"/>
          <w:szCs w:val="28"/>
        </w:rPr>
        <w:t xml:space="preserve"> </w:t>
      </w:r>
      <w:r w:rsidR="00092A68" w:rsidRPr="00092A68">
        <w:rPr>
          <w:sz w:val="28"/>
          <w:szCs w:val="28"/>
        </w:rPr>
        <w:tab/>
      </w:r>
      <w:r w:rsidR="004C762F" w:rsidRPr="00092A68">
        <w:rPr>
          <w:sz w:val="28"/>
          <w:szCs w:val="28"/>
        </w:rPr>
        <w:t xml:space="preserve">1. </w:t>
      </w:r>
      <w:r w:rsidRPr="00092A68">
        <w:rPr>
          <w:sz w:val="28"/>
          <w:szCs w:val="28"/>
        </w:rPr>
        <w:t xml:space="preserve"> </w:t>
      </w:r>
      <w:r w:rsidRPr="00092A68">
        <w:rPr>
          <w:sz w:val="28"/>
          <w:szCs w:val="28"/>
          <w:u w:val="single"/>
        </w:rPr>
        <w:t>The requirement of the last sentence (highlighted in yellow) is independent of the previous sentence (highlighted in green).</w:t>
      </w:r>
      <w:r w:rsidRPr="00092A68">
        <w:rPr>
          <w:sz w:val="28"/>
          <w:szCs w:val="28"/>
        </w:rPr>
        <w:t xml:space="preserve">  </w:t>
      </w:r>
      <w:proofErr w:type="gramStart"/>
      <w:r w:rsidRPr="00092A68">
        <w:rPr>
          <w:sz w:val="28"/>
          <w:szCs w:val="28"/>
        </w:rPr>
        <w:t>i.e.</w:t>
      </w:r>
      <w:proofErr w:type="gramEnd"/>
      <w:r w:rsidRPr="00092A68">
        <w:rPr>
          <w:sz w:val="28"/>
          <w:szCs w:val="28"/>
        </w:rPr>
        <w:t xml:space="preserve"> Regardless if the hub is made of aluminum (non-ferrous) or steel (ferrous), the impeller, bearing and shaft are </w:t>
      </w:r>
      <w:r w:rsidRPr="00092A68">
        <w:rPr>
          <w:i/>
          <w:iCs/>
          <w:sz w:val="28"/>
          <w:szCs w:val="28"/>
        </w:rPr>
        <w:t>still</w:t>
      </w:r>
      <w:r w:rsidRPr="00092A68">
        <w:rPr>
          <w:sz w:val="28"/>
          <w:szCs w:val="28"/>
        </w:rPr>
        <w:t xml:space="preserve"> required to be adequately attached and/or restrained to prevent a lateral or axial shift in these components.</w:t>
      </w:r>
    </w:p>
    <w:p w14:paraId="44BE40C8" w14:textId="77777777" w:rsidR="00092A68" w:rsidRPr="00092A68" w:rsidRDefault="00092A68" w:rsidP="00092A68">
      <w:pPr>
        <w:ind w:left="2160" w:hanging="2160"/>
        <w:rPr>
          <w:sz w:val="28"/>
          <w:szCs w:val="28"/>
        </w:rPr>
      </w:pPr>
    </w:p>
    <w:p w14:paraId="73074309" w14:textId="4EBB40DB" w:rsidR="0059324C" w:rsidRDefault="00092A68" w:rsidP="00092A68">
      <w:pPr>
        <w:ind w:left="2160"/>
        <w:rPr>
          <w:sz w:val="28"/>
          <w:szCs w:val="28"/>
        </w:rPr>
      </w:pPr>
      <w:r w:rsidRPr="00092A68">
        <w:rPr>
          <w:sz w:val="28"/>
          <w:szCs w:val="28"/>
        </w:rPr>
        <w:t>2. T</w:t>
      </w:r>
      <w:r w:rsidR="00C5719E" w:rsidRPr="00092A68">
        <w:rPr>
          <w:sz w:val="28"/>
          <w:szCs w:val="28"/>
        </w:rPr>
        <w:t xml:space="preserve">ypical construction methods for “regular”/non-spark resistant industrial direct drive centrifugal fans have the impeller’s hub keyed to the standard shaft and secured with 3 setscrews.  </w:t>
      </w:r>
      <w:r w:rsidR="00C5719E" w:rsidRPr="00092A68">
        <w:rPr>
          <w:sz w:val="28"/>
          <w:szCs w:val="28"/>
          <w:u w:val="single"/>
        </w:rPr>
        <w:t>This construction method is insufficient to meet the Type B Spark Resistant Construction requirement of the last sentence (highlighted in yellow).</w:t>
      </w:r>
      <w:r w:rsidR="00C5719E" w:rsidRPr="00092A68">
        <w:rPr>
          <w:sz w:val="28"/>
          <w:szCs w:val="28"/>
        </w:rPr>
        <w:t xml:space="preserve">  i.e. A more robust attachment method/restraint is required to adequately attach and/or restrain the impeller’s hub to the shaft (example: key, retaining washer</w:t>
      </w:r>
      <w:proofErr w:type="gramStart"/>
      <w:r w:rsidR="00C5719E" w:rsidRPr="00092A68">
        <w:rPr>
          <w:sz w:val="28"/>
          <w:szCs w:val="28"/>
        </w:rPr>
        <w:t>/“</w:t>
      </w:r>
      <w:proofErr w:type="gramEnd"/>
      <w:r w:rsidR="00C5719E" w:rsidRPr="00092A68">
        <w:rPr>
          <w:sz w:val="28"/>
          <w:szCs w:val="28"/>
        </w:rPr>
        <w:t>hub cap”, and bolt).</w:t>
      </w:r>
    </w:p>
    <w:p w14:paraId="0FBF6C39" w14:textId="77777777" w:rsidR="00B25FB1" w:rsidRDefault="00B25FB1" w:rsidP="00092A68">
      <w:pPr>
        <w:ind w:left="2160"/>
        <w:rPr>
          <w:sz w:val="28"/>
          <w:szCs w:val="28"/>
        </w:rPr>
      </w:pPr>
    </w:p>
    <w:p w14:paraId="737FB4CC" w14:textId="1AFD909D" w:rsidR="005C2346" w:rsidRDefault="00B25FB1" w:rsidP="00B25FB1">
      <w:pPr>
        <w:rPr>
          <w:sz w:val="28"/>
          <w:szCs w:val="28"/>
        </w:rPr>
      </w:pPr>
      <w:r w:rsidRPr="001C7E93">
        <w:rPr>
          <w:b/>
          <w:bCs/>
          <w:sz w:val="28"/>
          <w:szCs w:val="28"/>
          <w:u w:val="single"/>
        </w:rPr>
        <w:t>Question:</w:t>
      </w:r>
      <w:r>
        <w:rPr>
          <w:sz w:val="28"/>
          <w:szCs w:val="28"/>
        </w:rPr>
        <w:t xml:space="preserve">  </w:t>
      </w:r>
      <w:r w:rsidR="009A07EA">
        <w:rPr>
          <w:sz w:val="28"/>
          <w:szCs w:val="28"/>
        </w:rPr>
        <w:tab/>
      </w:r>
      <w:r w:rsidR="009A07EA">
        <w:rPr>
          <w:sz w:val="28"/>
          <w:szCs w:val="28"/>
        </w:rPr>
        <w:tab/>
        <w:t xml:space="preserve">1. </w:t>
      </w:r>
      <w:r w:rsidR="005C2346">
        <w:rPr>
          <w:sz w:val="28"/>
          <w:szCs w:val="28"/>
        </w:rPr>
        <w:t>Is this interpretation correct?</w:t>
      </w:r>
    </w:p>
    <w:p w14:paraId="5F09C319" w14:textId="58FBBC62" w:rsidR="00B25FB1" w:rsidRDefault="005C2346" w:rsidP="005C2346">
      <w:pPr>
        <w:ind w:left="1440" w:firstLine="720"/>
        <w:rPr>
          <w:sz w:val="28"/>
          <w:szCs w:val="28"/>
        </w:rPr>
      </w:pPr>
      <w:r>
        <w:rPr>
          <w:sz w:val="28"/>
          <w:szCs w:val="28"/>
        </w:rPr>
        <w:t>2. Is this interpretation correct?</w:t>
      </w:r>
    </w:p>
    <w:p w14:paraId="1541CDD9" w14:textId="77777777" w:rsidR="00474728" w:rsidRDefault="00474728" w:rsidP="005C2346">
      <w:pPr>
        <w:ind w:left="1440" w:firstLine="720"/>
        <w:rPr>
          <w:sz w:val="28"/>
          <w:szCs w:val="28"/>
        </w:rPr>
      </w:pPr>
    </w:p>
    <w:p w14:paraId="6AE6FDB4" w14:textId="13279496" w:rsidR="00474728" w:rsidRDefault="00474728" w:rsidP="00474728">
      <w:pPr>
        <w:rPr>
          <w:sz w:val="28"/>
          <w:szCs w:val="28"/>
        </w:rPr>
      </w:pPr>
      <w:r w:rsidRPr="001C7E93">
        <w:rPr>
          <w:b/>
          <w:bCs/>
          <w:sz w:val="28"/>
          <w:szCs w:val="28"/>
          <w:u w:val="single"/>
        </w:rPr>
        <w:lastRenderedPageBreak/>
        <w:t>Answer:</w:t>
      </w:r>
      <w:r>
        <w:rPr>
          <w:sz w:val="28"/>
          <w:szCs w:val="28"/>
        </w:rPr>
        <w:tab/>
      </w:r>
      <w:r>
        <w:rPr>
          <w:sz w:val="28"/>
          <w:szCs w:val="28"/>
        </w:rPr>
        <w:tab/>
        <w:t xml:space="preserve">1. </w:t>
      </w:r>
      <w:r w:rsidR="00BB53C6">
        <w:rPr>
          <w:sz w:val="28"/>
          <w:szCs w:val="28"/>
        </w:rPr>
        <w:t>– Yes</w:t>
      </w:r>
    </w:p>
    <w:p w14:paraId="0A1E92D6" w14:textId="695FBD9F" w:rsidR="00BB53C6" w:rsidRDefault="00BB53C6" w:rsidP="00474728">
      <w:pPr>
        <w:rPr>
          <w:sz w:val="28"/>
          <w:szCs w:val="28"/>
        </w:rPr>
      </w:pPr>
      <w:r>
        <w:rPr>
          <w:sz w:val="28"/>
          <w:szCs w:val="28"/>
        </w:rPr>
        <w:tab/>
      </w:r>
      <w:r>
        <w:rPr>
          <w:sz w:val="28"/>
          <w:szCs w:val="28"/>
        </w:rPr>
        <w:tab/>
      </w:r>
      <w:r>
        <w:rPr>
          <w:sz w:val="28"/>
          <w:szCs w:val="28"/>
        </w:rPr>
        <w:tab/>
        <w:t>2. – No</w:t>
      </w:r>
    </w:p>
    <w:p w14:paraId="09BB4858" w14:textId="77777777" w:rsidR="00BB53C6" w:rsidRDefault="00BB53C6" w:rsidP="00474728">
      <w:pPr>
        <w:rPr>
          <w:sz w:val="28"/>
          <w:szCs w:val="28"/>
        </w:rPr>
      </w:pPr>
    </w:p>
    <w:p w14:paraId="26412981" w14:textId="77777777" w:rsidR="00F85BC0" w:rsidRPr="009164E4" w:rsidRDefault="00BB53C6" w:rsidP="00305103">
      <w:pPr>
        <w:ind w:left="2160" w:hanging="2160"/>
      </w:pPr>
      <w:r w:rsidRPr="001C7E93">
        <w:rPr>
          <w:b/>
          <w:bCs/>
          <w:sz w:val="28"/>
          <w:szCs w:val="28"/>
          <w:u w:val="single"/>
        </w:rPr>
        <w:t>Comments</w:t>
      </w:r>
      <w:r w:rsidRPr="001C7E93">
        <w:rPr>
          <w:b/>
          <w:bCs/>
          <w:sz w:val="28"/>
          <w:szCs w:val="28"/>
        </w:rPr>
        <w:t>:</w:t>
      </w:r>
      <w:r w:rsidR="00F85BC0" w:rsidRPr="00F85BC0">
        <w:rPr>
          <w:sz w:val="28"/>
          <w:szCs w:val="28"/>
        </w:rPr>
        <w:tab/>
        <w:t>It is not within the purview of AMCA or the committee to prescribe specific construction methods.  It is the manufacturer’s responsibility to ensure the attachment method is appropriate.  It is also noted that the specifier/customer must accept the design for their application</w:t>
      </w:r>
      <w:r w:rsidR="00F85BC0" w:rsidRPr="009164E4">
        <w:t xml:space="preserve">.  </w:t>
      </w:r>
    </w:p>
    <w:sectPr w:rsidR="00F85BC0" w:rsidRPr="009164E4">
      <w:footerReference w:type="default" r:id="rId7"/>
      <w:pgSz w:w="12240" w:h="15840"/>
      <w:pgMar w:top="660" w:right="680" w:bottom="940" w:left="60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F46C" w14:textId="77777777" w:rsidR="00035C5A" w:rsidRDefault="00035C5A">
      <w:r>
        <w:separator/>
      </w:r>
    </w:p>
  </w:endnote>
  <w:endnote w:type="continuationSeparator" w:id="0">
    <w:p w14:paraId="0EDFD77E" w14:textId="77777777" w:rsidR="00035C5A" w:rsidRDefault="0003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B382" w14:textId="2A2D7894" w:rsidR="00C01049" w:rsidRDefault="009C63BF">
    <w:pPr>
      <w:pStyle w:val="BodyText"/>
      <w:spacing w:line="14" w:lineRule="auto"/>
    </w:pPr>
    <w:r>
      <w:rPr>
        <w:noProof/>
      </w:rPr>
      <mc:AlternateContent>
        <mc:Choice Requires="wps">
          <w:drawing>
            <wp:anchor distT="0" distB="0" distL="114300" distR="114300" simplePos="0" relativeHeight="251659264" behindDoc="1" locked="0" layoutInCell="1" allowOverlap="1" wp14:anchorId="3A67C261" wp14:editId="3767F4F7">
              <wp:simplePos x="0" y="0"/>
              <wp:positionH relativeFrom="page">
                <wp:posOffset>3036570</wp:posOffset>
              </wp:positionH>
              <wp:positionV relativeFrom="page">
                <wp:posOffset>9446895</wp:posOffset>
              </wp:positionV>
              <wp:extent cx="1734185" cy="1670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E818" w14:textId="77777777" w:rsidR="00C01049" w:rsidRDefault="0089014A">
                          <w:pPr>
                            <w:pStyle w:val="BodyText"/>
                            <w:spacing w:before="12"/>
                            <w:ind w:left="20"/>
                          </w:pPr>
                          <w:r>
                            <w:t>ANSI/AMCA</w:t>
                          </w:r>
                          <w:r>
                            <w:rPr>
                              <w:spacing w:val="-5"/>
                            </w:rPr>
                            <w:t xml:space="preserve"> </w:t>
                          </w:r>
                          <w:r>
                            <w:t>Standard</w:t>
                          </w:r>
                          <w:r>
                            <w:rPr>
                              <w:spacing w:val="-6"/>
                            </w:rPr>
                            <w:t xml:space="preserve"> </w:t>
                          </w:r>
                          <w:r>
                            <w:t>99</w:t>
                          </w:r>
                          <w:r>
                            <w:rPr>
                              <w:spacing w:val="-4"/>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C261" id="_x0000_t202" coordsize="21600,21600" o:spt="202" path="m,l,21600r21600,l21600,xe">
              <v:stroke joinstyle="miter"/>
              <v:path gradientshapeok="t" o:connecttype="rect"/>
            </v:shapetype>
            <v:shape id="Text Box 1" o:spid="_x0000_s1026" type="#_x0000_t202" style="position:absolute;margin-left:239.1pt;margin-top:743.85pt;width:136.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" filled="f" stroked="f">
              <v:textbox inset="0,0,0,0">
                <w:txbxContent>
                  <w:p w14:paraId="3998E818" w14:textId="77777777" w:rsidR="00C01049" w:rsidRDefault="0089014A">
                    <w:pPr>
                      <w:pStyle w:val="BodyText"/>
                      <w:spacing w:before="12"/>
                      <w:ind w:left="20"/>
                    </w:pPr>
                    <w:r>
                      <w:t>ANSI/AMCA</w:t>
                    </w:r>
                    <w:r>
                      <w:rPr>
                        <w:spacing w:val="-5"/>
                      </w:rPr>
                      <w:t xml:space="preserve"> </w:t>
                    </w:r>
                    <w:r>
                      <w:t>Standard</w:t>
                    </w:r>
                    <w:r>
                      <w:rPr>
                        <w:spacing w:val="-6"/>
                      </w:rPr>
                      <w:t xml:space="preserve"> </w:t>
                    </w:r>
                    <w:r>
                      <w:t>99</w:t>
                    </w:r>
                    <w:r>
                      <w:rPr>
                        <w:spacing w:val="-4"/>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D9E7" w14:textId="77777777" w:rsidR="00035C5A" w:rsidRDefault="00035C5A">
      <w:r>
        <w:separator/>
      </w:r>
    </w:p>
  </w:footnote>
  <w:footnote w:type="continuationSeparator" w:id="0">
    <w:p w14:paraId="64C28EA2" w14:textId="77777777" w:rsidR="00035C5A" w:rsidRDefault="0003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5E76"/>
    <w:multiLevelType w:val="hybridMultilevel"/>
    <w:tmpl w:val="4B5A149A"/>
    <w:lvl w:ilvl="0" w:tplc="FD0A0A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6791B"/>
    <w:multiLevelType w:val="hybridMultilevel"/>
    <w:tmpl w:val="51BCF8B0"/>
    <w:lvl w:ilvl="0" w:tplc="386E49F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2464011">
    <w:abstractNumId w:val="1"/>
  </w:num>
  <w:num w:numId="2" w16cid:durableId="200831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BF"/>
    <w:rsid w:val="00035C5A"/>
    <w:rsid w:val="000450C8"/>
    <w:rsid w:val="00092A68"/>
    <w:rsid w:val="001C7E93"/>
    <w:rsid w:val="002043B6"/>
    <w:rsid w:val="00226400"/>
    <w:rsid w:val="002E48C5"/>
    <w:rsid w:val="00305103"/>
    <w:rsid w:val="00466EE4"/>
    <w:rsid w:val="00474728"/>
    <w:rsid w:val="004C762F"/>
    <w:rsid w:val="0059324C"/>
    <w:rsid w:val="005C2346"/>
    <w:rsid w:val="005D53C9"/>
    <w:rsid w:val="007C1F14"/>
    <w:rsid w:val="007D6FA0"/>
    <w:rsid w:val="0089014A"/>
    <w:rsid w:val="008F0BFC"/>
    <w:rsid w:val="0094623E"/>
    <w:rsid w:val="009942F7"/>
    <w:rsid w:val="009A07EA"/>
    <w:rsid w:val="009C63BF"/>
    <w:rsid w:val="00A01D45"/>
    <w:rsid w:val="00A11A61"/>
    <w:rsid w:val="00AD5A70"/>
    <w:rsid w:val="00B25FB1"/>
    <w:rsid w:val="00B47430"/>
    <w:rsid w:val="00BB53C6"/>
    <w:rsid w:val="00BC2269"/>
    <w:rsid w:val="00C5719E"/>
    <w:rsid w:val="00CA51EA"/>
    <w:rsid w:val="00CE04BD"/>
    <w:rsid w:val="00D53579"/>
    <w:rsid w:val="00D53D7D"/>
    <w:rsid w:val="00D856E7"/>
    <w:rsid w:val="00DC553E"/>
    <w:rsid w:val="00EE4593"/>
    <w:rsid w:val="00F85BC0"/>
    <w:rsid w:val="00FA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03B6"/>
  <w15:chartTrackingRefBased/>
  <w15:docId w15:val="{5CA1B514-A9AC-412C-9246-0A198FD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63BF"/>
    <w:rPr>
      <w:color w:val="0563C1" w:themeColor="hyperlink"/>
      <w:u w:val="single"/>
    </w:rPr>
  </w:style>
  <w:style w:type="paragraph" w:styleId="BodyText">
    <w:name w:val="Body Text"/>
    <w:basedOn w:val="Normal"/>
    <w:link w:val="BodyTextChar"/>
    <w:uiPriority w:val="1"/>
    <w:qFormat/>
    <w:rsid w:val="009C63B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C63BF"/>
    <w:rPr>
      <w:rFonts w:ascii="Arial" w:eastAsia="Arial" w:hAnsi="Arial" w:cs="Arial"/>
      <w:sz w:val="20"/>
      <w:szCs w:val="20"/>
    </w:rPr>
  </w:style>
  <w:style w:type="paragraph" w:styleId="Title">
    <w:name w:val="Title"/>
    <w:basedOn w:val="Normal"/>
    <w:link w:val="TitleChar"/>
    <w:uiPriority w:val="10"/>
    <w:qFormat/>
    <w:rsid w:val="009C63BF"/>
    <w:pPr>
      <w:widowControl w:val="0"/>
      <w:autoSpaceDE w:val="0"/>
      <w:autoSpaceDN w:val="0"/>
      <w:spacing w:before="80"/>
      <w:ind w:left="547" w:hanging="428"/>
    </w:pPr>
    <w:rPr>
      <w:rFonts w:ascii="Arial Black" w:eastAsia="Arial Black" w:hAnsi="Arial Black" w:cs="Arial Black"/>
      <w:sz w:val="32"/>
      <w:szCs w:val="32"/>
    </w:rPr>
  </w:style>
  <w:style w:type="character" w:customStyle="1" w:styleId="TitleChar">
    <w:name w:val="Title Char"/>
    <w:basedOn w:val="DefaultParagraphFont"/>
    <w:link w:val="Title"/>
    <w:uiPriority w:val="10"/>
    <w:rsid w:val="009C63BF"/>
    <w:rPr>
      <w:rFonts w:ascii="Arial Black" w:eastAsia="Arial Black" w:hAnsi="Arial Black" w:cs="Arial Blac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Brooks</dc:creator>
  <cp:keywords/>
  <dc:description/>
  <cp:lastModifiedBy>Joseph Brooks</cp:lastModifiedBy>
  <cp:revision>33</cp:revision>
  <dcterms:created xsi:type="dcterms:W3CDTF">2023-05-19T16:00:00Z</dcterms:created>
  <dcterms:modified xsi:type="dcterms:W3CDTF">2023-05-19T20:17:00Z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2022-10-24T20:47:06Z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872c4869-129d-40a7-83b8-623df49c490d</vt:lpwstr>
  </property>
  <property fmtid="{D5CDD505-2E9C-101B-9397-08002B2CF9AE}" pid="8" name="MSIP_Label_041f6284-d86e-4efe-9f9d-22e96a445788_ContentBits">
    <vt:lpwstr>0</vt:lpwstr>
  </property>
</Properties>
</file>