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B0314" w14:textId="77777777" w:rsidR="009C63BF" w:rsidRDefault="009C63BF" w:rsidP="009C63BF">
      <w:pPr>
        <w:jc w:val="center"/>
        <w:rPr>
          <w:b/>
          <w:sz w:val="28"/>
        </w:rPr>
      </w:pPr>
    </w:p>
    <w:p w14:paraId="306158F1" w14:textId="77777777" w:rsidR="00AD5A70" w:rsidRDefault="009C63BF" w:rsidP="009C63BF">
      <w:pPr>
        <w:jc w:val="center"/>
        <w:rPr>
          <w:b/>
          <w:sz w:val="28"/>
        </w:rPr>
      </w:pPr>
      <w:r>
        <w:rPr>
          <w:b/>
          <w:sz w:val="28"/>
        </w:rPr>
        <w:t>Interpretation</w:t>
      </w:r>
      <w:r w:rsidR="00AD5A70">
        <w:rPr>
          <w:b/>
          <w:sz w:val="28"/>
        </w:rPr>
        <w:t xml:space="preserve"> of </w:t>
      </w:r>
    </w:p>
    <w:p w14:paraId="477B9D78" w14:textId="18E12808" w:rsidR="00CA51EA" w:rsidRDefault="00AD5A70" w:rsidP="009C63BF">
      <w:pPr>
        <w:jc w:val="center"/>
        <w:rPr>
          <w:b/>
          <w:sz w:val="28"/>
        </w:rPr>
      </w:pPr>
      <w:r>
        <w:rPr>
          <w:b/>
          <w:sz w:val="28"/>
        </w:rPr>
        <w:t>ANSI/AM</w:t>
      </w:r>
      <w:r w:rsidR="00D53D7D">
        <w:rPr>
          <w:b/>
          <w:sz w:val="28"/>
        </w:rPr>
        <w:t>C</w:t>
      </w:r>
      <w:r>
        <w:rPr>
          <w:b/>
          <w:sz w:val="28"/>
        </w:rPr>
        <w:t>A Standard 99-2016</w:t>
      </w:r>
    </w:p>
    <w:p w14:paraId="708FC5DF" w14:textId="77777777" w:rsidR="00CA51EA" w:rsidRDefault="00CA51EA" w:rsidP="009C63BF">
      <w:pPr>
        <w:jc w:val="center"/>
        <w:rPr>
          <w:b/>
          <w:sz w:val="28"/>
        </w:rPr>
      </w:pPr>
      <w:r>
        <w:rPr>
          <w:b/>
          <w:sz w:val="28"/>
        </w:rPr>
        <w:t>Standards HandBook</w:t>
      </w:r>
    </w:p>
    <w:p w14:paraId="1B41D7C1" w14:textId="63A193FD" w:rsidR="009C63BF" w:rsidRDefault="00CA51EA" w:rsidP="009C63BF">
      <w:pPr>
        <w:jc w:val="center"/>
        <w:rPr>
          <w:b/>
          <w:sz w:val="28"/>
        </w:rPr>
      </w:pPr>
      <w:r>
        <w:rPr>
          <w:b/>
          <w:sz w:val="28"/>
        </w:rPr>
        <w:t>Section 8, Classification for Spark Resistant Construct</w:t>
      </w:r>
      <w:r w:rsidR="007D6FA0">
        <w:rPr>
          <w:b/>
          <w:sz w:val="28"/>
        </w:rPr>
        <w:t>i</w:t>
      </w:r>
      <w:r>
        <w:rPr>
          <w:b/>
          <w:sz w:val="28"/>
        </w:rPr>
        <w:t>on</w:t>
      </w:r>
      <w:r w:rsidR="009C63BF">
        <w:rPr>
          <w:b/>
          <w:sz w:val="28"/>
        </w:rPr>
        <w:t xml:space="preserve"> </w:t>
      </w:r>
    </w:p>
    <w:p w14:paraId="252DECE9" w14:textId="77777777" w:rsidR="009942F7" w:rsidRDefault="009942F7" w:rsidP="009C63BF">
      <w:pPr>
        <w:jc w:val="center"/>
        <w:rPr>
          <w:bCs/>
          <w:sz w:val="28"/>
        </w:rPr>
      </w:pPr>
    </w:p>
    <w:p w14:paraId="47FED783" w14:textId="4F8DBA9A" w:rsidR="009C63BF" w:rsidRDefault="009C63BF" w:rsidP="009C63BF">
      <w:pPr>
        <w:jc w:val="center"/>
        <w:rPr>
          <w:bCs/>
          <w:sz w:val="28"/>
        </w:rPr>
      </w:pPr>
      <w:r w:rsidRPr="006C4479">
        <w:rPr>
          <w:bCs/>
          <w:sz w:val="28"/>
        </w:rPr>
        <w:t>(</w:t>
      </w:r>
      <w:r w:rsidR="009942F7">
        <w:rPr>
          <w:bCs/>
          <w:sz w:val="28"/>
        </w:rPr>
        <w:t xml:space="preserve">Approved </w:t>
      </w:r>
      <w:r w:rsidR="00931F8D">
        <w:rPr>
          <w:bCs/>
          <w:sz w:val="28"/>
        </w:rPr>
        <w:t>7</w:t>
      </w:r>
      <w:r w:rsidR="009942F7">
        <w:rPr>
          <w:bCs/>
          <w:sz w:val="28"/>
        </w:rPr>
        <w:t>/</w:t>
      </w:r>
      <w:r w:rsidR="00931F8D">
        <w:rPr>
          <w:bCs/>
          <w:sz w:val="28"/>
        </w:rPr>
        <w:t>01</w:t>
      </w:r>
      <w:r w:rsidR="009942F7">
        <w:rPr>
          <w:bCs/>
          <w:sz w:val="28"/>
        </w:rPr>
        <w:t>/</w:t>
      </w:r>
      <w:r w:rsidR="00931F8D">
        <w:rPr>
          <w:bCs/>
          <w:sz w:val="28"/>
        </w:rPr>
        <w:t>2019</w:t>
      </w:r>
      <w:r w:rsidRPr="006C4479">
        <w:rPr>
          <w:bCs/>
          <w:sz w:val="28"/>
        </w:rPr>
        <w:t>)</w:t>
      </w:r>
    </w:p>
    <w:p w14:paraId="2FED7A65" w14:textId="77777777" w:rsidR="005D53C9" w:rsidRDefault="005D53C9" w:rsidP="009C63BF">
      <w:pPr>
        <w:jc w:val="center"/>
        <w:rPr>
          <w:bCs/>
          <w:sz w:val="28"/>
        </w:rPr>
      </w:pPr>
    </w:p>
    <w:p w14:paraId="12329782" w14:textId="3A91E9D7" w:rsidR="005D53C9" w:rsidRDefault="00D856E7" w:rsidP="00941A07">
      <w:pPr>
        <w:ind w:left="2160" w:hanging="2160"/>
        <w:rPr>
          <w:bCs/>
          <w:sz w:val="28"/>
        </w:rPr>
      </w:pPr>
      <w:r w:rsidRPr="001C7E93">
        <w:rPr>
          <w:b/>
          <w:sz w:val="28"/>
          <w:u w:val="single"/>
        </w:rPr>
        <w:t>Request from</w:t>
      </w:r>
      <w:r w:rsidRPr="007D6FA0">
        <w:rPr>
          <w:b/>
          <w:sz w:val="28"/>
        </w:rPr>
        <w:t>:</w:t>
      </w:r>
      <w:r>
        <w:rPr>
          <w:bCs/>
          <w:sz w:val="28"/>
        </w:rPr>
        <w:tab/>
      </w:r>
      <w:r w:rsidR="00931F8D">
        <w:rPr>
          <w:bCs/>
          <w:sz w:val="28"/>
        </w:rPr>
        <w:t xml:space="preserve">Jon Weeks, Twin City Fan Companies, 5959 </w:t>
      </w:r>
      <w:r w:rsidR="00822202">
        <w:rPr>
          <w:bCs/>
          <w:sz w:val="28"/>
        </w:rPr>
        <w:t>T</w:t>
      </w:r>
      <w:r w:rsidR="00931F8D">
        <w:rPr>
          <w:bCs/>
          <w:sz w:val="28"/>
        </w:rPr>
        <w:t>renton L</w:t>
      </w:r>
      <w:r w:rsidR="007B25AE">
        <w:rPr>
          <w:bCs/>
          <w:sz w:val="28"/>
        </w:rPr>
        <w:t>n. N., Minneapolis, MN    55442</w:t>
      </w:r>
    </w:p>
    <w:p w14:paraId="38B5D97B" w14:textId="77777777" w:rsidR="007D6FA0" w:rsidRDefault="007D6FA0" w:rsidP="00D856E7">
      <w:pPr>
        <w:rPr>
          <w:bCs/>
          <w:sz w:val="28"/>
        </w:rPr>
      </w:pPr>
    </w:p>
    <w:p w14:paraId="6277B7B2" w14:textId="0AC4ABC9" w:rsidR="00FA48C0" w:rsidRDefault="00FA48C0" w:rsidP="00941A07">
      <w:pPr>
        <w:ind w:left="2160" w:hanging="2160"/>
        <w:rPr>
          <w:bCs/>
          <w:sz w:val="28"/>
        </w:rPr>
      </w:pPr>
      <w:r w:rsidRPr="001C7E93">
        <w:rPr>
          <w:b/>
          <w:sz w:val="28"/>
          <w:u w:val="single"/>
        </w:rPr>
        <w:t>Reference</w:t>
      </w:r>
      <w:r w:rsidRPr="001C7E93">
        <w:rPr>
          <w:bCs/>
          <w:sz w:val="28"/>
          <w:u w:val="single"/>
        </w:rPr>
        <w:t>:</w:t>
      </w:r>
      <w:r>
        <w:rPr>
          <w:bCs/>
          <w:sz w:val="28"/>
        </w:rPr>
        <w:t xml:space="preserve">  </w:t>
      </w:r>
      <w:r w:rsidR="00941A07">
        <w:rPr>
          <w:bCs/>
          <w:sz w:val="28"/>
        </w:rPr>
        <w:tab/>
      </w:r>
      <w:r>
        <w:rPr>
          <w:bCs/>
          <w:sz w:val="28"/>
        </w:rPr>
        <w:t>Th</w:t>
      </w:r>
      <w:r w:rsidR="007B25AE">
        <w:rPr>
          <w:bCs/>
          <w:sz w:val="28"/>
        </w:rPr>
        <w:t>is</w:t>
      </w:r>
      <w:r>
        <w:rPr>
          <w:bCs/>
          <w:sz w:val="28"/>
        </w:rPr>
        <w:t xml:space="preserve"> request for interp</w:t>
      </w:r>
      <w:r w:rsidR="00466EE4">
        <w:rPr>
          <w:bCs/>
          <w:sz w:val="28"/>
        </w:rPr>
        <w:t>r</w:t>
      </w:r>
      <w:r>
        <w:rPr>
          <w:bCs/>
          <w:sz w:val="28"/>
        </w:rPr>
        <w:t>etation refer</w:t>
      </w:r>
      <w:r w:rsidR="00EE4593">
        <w:rPr>
          <w:bCs/>
          <w:sz w:val="28"/>
        </w:rPr>
        <w:t xml:space="preserve">s to the requirements presented in AMCA </w:t>
      </w:r>
      <w:r w:rsidR="007B25AE">
        <w:rPr>
          <w:bCs/>
          <w:sz w:val="28"/>
        </w:rPr>
        <w:t>Stand</w:t>
      </w:r>
      <w:r w:rsidR="00D2570A">
        <w:rPr>
          <w:bCs/>
          <w:sz w:val="28"/>
        </w:rPr>
        <w:t xml:space="preserve">ard </w:t>
      </w:r>
      <w:r w:rsidR="00EE4593">
        <w:rPr>
          <w:bCs/>
          <w:sz w:val="28"/>
        </w:rPr>
        <w:t>99-</w:t>
      </w:r>
      <w:r w:rsidR="00D2570A">
        <w:rPr>
          <w:bCs/>
          <w:sz w:val="28"/>
        </w:rPr>
        <w:t>20</w:t>
      </w:r>
      <w:r w:rsidR="00EE4593">
        <w:rPr>
          <w:bCs/>
          <w:sz w:val="28"/>
        </w:rPr>
        <w:t xml:space="preserve">16, Section </w:t>
      </w:r>
      <w:r w:rsidR="00BC655F">
        <w:rPr>
          <w:bCs/>
          <w:sz w:val="28"/>
        </w:rPr>
        <w:t xml:space="preserve">3.1 and </w:t>
      </w:r>
      <w:r w:rsidR="00EE4593">
        <w:rPr>
          <w:bCs/>
          <w:sz w:val="28"/>
        </w:rPr>
        <w:t>8</w:t>
      </w:r>
      <w:r w:rsidR="002E48C5">
        <w:rPr>
          <w:bCs/>
          <w:sz w:val="28"/>
        </w:rPr>
        <w:t xml:space="preserve">, </w:t>
      </w:r>
      <w:r w:rsidR="005F3602">
        <w:rPr>
          <w:bCs/>
          <w:sz w:val="28"/>
        </w:rPr>
        <w:t xml:space="preserve">relating to </w:t>
      </w:r>
      <w:r w:rsidR="00A22CF6">
        <w:rPr>
          <w:bCs/>
          <w:sz w:val="28"/>
        </w:rPr>
        <w:t>i</w:t>
      </w:r>
      <w:r w:rsidR="005F3602">
        <w:rPr>
          <w:bCs/>
          <w:sz w:val="28"/>
        </w:rPr>
        <w:t>nclusion of appurtenances in spark resistant construction requirements</w:t>
      </w:r>
      <w:r w:rsidR="00A22CF6">
        <w:rPr>
          <w:bCs/>
          <w:sz w:val="28"/>
        </w:rPr>
        <w:t xml:space="preserve">.  </w:t>
      </w:r>
    </w:p>
    <w:p w14:paraId="26CD9D79" w14:textId="77777777" w:rsidR="0094623E" w:rsidRDefault="0094623E" w:rsidP="00D856E7">
      <w:pPr>
        <w:rPr>
          <w:bCs/>
          <w:sz w:val="28"/>
        </w:rPr>
      </w:pPr>
    </w:p>
    <w:p w14:paraId="71C948AA" w14:textId="117D0968" w:rsidR="0094623E" w:rsidRPr="00092A68" w:rsidRDefault="0094623E" w:rsidP="00941A07">
      <w:pPr>
        <w:ind w:left="2160" w:hanging="2160"/>
        <w:rPr>
          <w:bCs/>
          <w:sz w:val="28"/>
          <w:szCs w:val="28"/>
        </w:rPr>
      </w:pPr>
      <w:r w:rsidRPr="001C7E93">
        <w:rPr>
          <w:b/>
          <w:sz w:val="28"/>
          <w:szCs w:val="28"/>
          <w:u w:val="single"/>
        </w:rPr>
        <w:t>Background:</w:t>
      </w:r>
      <w:r w:rsidRPr="00092A68">
        <w:rPr>
          <w:bCs/>
          <w:sz w:val="28"/>
          <w:szCs w:val="28"/>
        </w:rPr>
        <w:t xml:space="preserve">  </w:t>
      </w:r>
      <w:r w:rsidR="00941A07">
        <w:rPr>
          <w:bCs/>
          <w:sz w:val="28"/>
          <w:szCs w:val="28"/>
        </w:rPr>
        <w:tab/>
      </w:r>
      <w:r w:rsidR="008E54CA" w:rsidRPr="00941A07">
        <w:rPr>
          <w:sz w:val="28"/>
          <w:szCs w:val="28"/>
        </w:rPr>
        <w:t xml:space="preserve">Some fans requiring spark A construction are supplied with appurtenances attached to the inlet and/or outlet of the fan.  When spark resistant construction is required of the fan, it is necessary to understand if the fan manufacturer must apply the same spark resistant construction requirements to these appurtenances or not.  The current AMCA 99 Fan Boundaries definition has some ambiguity as it says appurtenances </w:t>
      </w:r>
      <w:r w:rsidR="008E54CA" w:rsidRPr="00941A07">
        <w:rPr>
          <w:b/>
          <w:bCs/>
          <w:i/>
          <w:iCs/>
          <w:sz w:val="28"/>
          <w:szCs w:val="28"/>
        </w:rPr>
        <w:t>may</w:t>
      </w:r>
      <w:r w:rsidR="008E54CA" w:rsidRPr="00941A07">
        <w:rPr>
          <w:sz w:val="28"/>
          <w:szCs w:val="28"/>
        </w:rPr>
        <w:t xml:space="preserve"> be included as part of a fan.  It does not appear to be mandatory to consider appurtenances as part of the fan.</w:t>
      </w:r>
    </w:p>
    <w:p w14:paraId="2461ED09" w14:textId="77777777" w:rsidR="008F0BFC" w:rsidRPr="00092A68" w:rsidRDefault="008F0BFC" w:rsidP="00D856E7">
      <w:pPr>
        <w:rPr>
          <w:bCs/>
          <w:sz w:val="28"/>
          <w:szCs w:val="28"/>
        </w:rPr>
      </w:pPr>
    </w:p>
    <w:p w14:paraId="192FEA96" w14:textId="77777777" w:rsidR="0059324C" w:rsidRPr="00092A68" w:rsidRDefault="0059324C" w:rsidP="00D856E7">
      <w:pPr>
        <w:rPr>
          <w:sz w:val="28"/>
          <w:szCs w:val="28"/>
        </w:rPr>
      </w:pPr>
    </w:p>
    <w:p w14:paraId="24649374" w14:textId="17B71106" w:rsidR="004C762F" w:rsidRDefault="00C5719E" w:rsidP="00092A68">
      <w:pPr>
        <w:ind w:left="2160" w:hanging="2160"/>
        <w:rPr>
          <w:sz w:val="28"/>
          <w:szCs w:val="28"/>
        </w:rPr>
      </w:pPr>
      <w:r w:rsidRPr="001C7E93">
        <w:rPr>
          <w:b/>
          <w:bCs/>
          <w:sz w:val="28"/>
          <w:szCs w:val="28"/>
          <w:u w:val="single"/>
        </w:rPr>
        <w:t>Interpretation:</w:t>
      </w:r>
      <w:r w:rsidRPr="00092A68">
        <w:rPr>
          <w:sz w:val="28"/>
          <w:szCs w:val="28"/>
        </w:rPr>
        <w:t xml:space="preserve"> </w:t>
      </w:r>
      <w:r w:rsidR="008E54CA">
        <w:rPr>
          <w:sz w:val="28"/>
          <w:szCs w:val="28"/>
        </w:rPr>
        <w:tab/>
      </w:r>
      <w:r w:rsidR="00782275" w:rsidRPr="00941A07">
        <w:rPr>
          <w:sz w:val="28"/>
          <w:szCs w:val="28"/>
        </w:rPr>
        <w:t>Our interpretation is that when a fan is provided to meet spark resistant construction, the appurtenances supplied with the fan are not required to meet spark resistant construction requirements.</w:t>
      </w:r>
      <w:r w:rsidR="00782275">
        <w:t xml:space="preserve">    </w:t>
      </w:r>
      <w:r w:rsidR="00092A68" w:rsidRPr="00092A68">
        <w:rPr>
          <w:sz w:val="28"/>
          <w:szCs w:val="28"/>
        </w:rPr>
        <w:tab/>
      </w:r>
    </w:p>
    <w:p w14:paraId="44BE40C8" w14:textId="77777777" w:rsidR="00092A68" w:rsidRPr="00092A68" w:rsidRDefault="00092A68" w:rsidP="00092A68">
      <w:pPr>
        <w:ind w:left="2160" w:hanging="2160"/>
        <w:rPr>
          <w:sz w:val="28"/>
          <w:szCs w:val="28"/>
        </w:rPr>
      </w:pPr>
    </w:p>
    <w:p w14:paraId="0FBF6C39" w14:textId="77777777" w:rsidR="00B25FB1" w:rsidRDefault="00B25FB1" w:rsidP="00092A68">
      <w:pPr>
        <w:ind w:left="2160"/>
        <w:rPr>
          <w:sz w:val="28"/>
          <w:szCs w:val="28"/>
        </w:rPr>
      </w:pPr>
    </w:p>
    <w:p w14:paraId="737FB4CC" w14:textId="6271F64D" w:rsidR="005C2346" w:rsidRDefault="00B25FB1" w:rsidP="00B25FB1">
      <w:pPr>
        <w:rPr>
          <w:sz w:val="28"/>
          <w:szCs w:val="28"/>
        </w:rPr>
      </w:pPr>
      <w:r w:rsidRPr="001C7E93">
        <w:rPr>
          <w:b/>
          <w:bCs/>
          <w:sz w:val="28"/>
          <w:szCs w:val="28"/>
          <w:u w:val="single"/>
        </w:rPr>
        <w:t>Question:</w:t>
      </w:r>
      <w:r>
        <w:rPr>
          <w:sz w:val="28"/>
          <w:szCs w:val="28"/>
        </w:rPr>
        <w:t xml:space="preserve">  </w:t>
      </w:r>
      <w:r w:rsidR="009A07EA">
        <w:rPr>
          <w:sz w:val="28"/>
          <w:szCs w:val="28"/>
        </w:rPr>
        <w:tab/>
      </w:r>
      <w:r w:rsidR="009A07EA">
        <w:rPr>
          <w:sz w:val="28"/>
          <w:szCs w:val="28"/>
        </w:rPr>
        <w:tab/>
      </w:r>
      <w:r w:rsidR="005C2346">
        <w:rPr>
          <w:sz w:val="28"/>
          <w:szCs w:val="28"/>
        </w:rPr>
        <w:t>Is this interpretation correct?</w:t>
      </w:r>
    </w:p>
    <w:p w14:paraId="1541CDD9" w14:textId="77777777" w:rsidR="00474728" w:rsidRDefault="00474728" w:rsidP="005C2346">
      <w:pPr>
        <w:ind w:left="1440" w:firstLine="720"/>
        <w:rPr>
          <w:sz w:val="28"/>
          <w:szCs w:val="28"/>
        </w:rPr>
      </w:pPr>
    </w:p>
    <w:p w14:paraId="6AE6FDB4" w14:textId="4902E0AF" w:rsidR="00474728" w:rsidRDefault="00474728" w:rsidP="00474728">
      <w:pPr>
        <w:rPr>
          <w:sz w:val="28"/>
          <w:szCs w:val="28"/>
        </w:rPr>
      </w:pPr>
      <w:r w:rsidRPr="001C7E93">
        <w:rPr>
          <w:b/>
          <w:bCs/>
          <w:sz w:val="28"/>
          <w:szCs w:val="28"/>
          <w:u w:val="single"/>
        </w:rPr>
        <w:t>Answer:</w:t>
      </w:r>
      <w:r>
        <w:rPr>
          <w:sz w:val="28"/>
          <w:szCs w:val="28"/>
        </w:rPr>
        <w:tab/>
      </w:r>
      <w:r>
        <w:rPr>
          <w:sz w:val="28"/>
          <w:szCs w:val="28"/>
        </w:rPr>
        <w:tab/>
      </w:r>
      <w:r w:rsidR="00BB53C6">
        <w:rPr>
          <w:sz w:val="28"/>
          <w:szCs w:val="28"/>
        </w:rPr>
        <w:t>Yes</w:t>
      </w:r>
    </w:p>
    <w:p w14:paraId="0A1E92D6" w14:textId="0E7264F5" w:rsidR="00BB53C6" w:rsidRDefault="00BB53C6" w:rsidP="00474728">
      <w:pPr>
        <w:rPr>
          <w:sz w:val="28"/>
          <w:szCs w:val="28"/>
        </w:rPr>
      </w:pPr>
      <w:r>
        <w:rPr>
          <w:sz w:val="28"/>
          <w:szCs w:val="28"/>
        </w:rPr>
        <w:tab/>
      </w:r>
      <w:r>
        <w:rPr>
          <w:sz w:val="28"/>
          <w:szCs w:val="28"/>
        </w:rPr>
        <w:tab/>
      </w:r>
      <w:r>
        <w:rPr>
          <w:sz w:val="28"/>
          <w:szCs w:val="28"/>
        </w:rPr>
        <w:tab/>
      </w:r>
    </w:p>
    <w:p w14:paraId="09BB4858" w14:textId="77777777" w:rsidR="00BB53C6" w:rsidRDefault="00BB53C6" w:rsidP="00474728">
      <w:pPr>
        <w:rPr>
          <w:sz w:val="28"/>
          <w:szCs w:val="28"/>
        </w:rPr>
      </w:pPr>
    </w:p>
    <w:p w14:paraId="442C8F11" w14:textId="6527DC74" w:rsidR="00131EAD" w:rsidRPr="00941A07" w:rsidRDefault="00BB53C6" w:rsidP="00131EAD">
      <w:pPr>
        <w:ind w:left="2160" w:hanging="2160"/>
        <w:rPr>
          <w:sz w:val="28"/>
          <w:szCs w:val="28"/>
        </w:rPr>
      </w:pPr>
      <w:r w:rsidRPr="001C7E93">
        <w:rPr>
          <w:b/>
          <w:bCs/>
          <w:sz w:val="28"/>
          <w:szCs w:val="28"/>
          <w:u w:val="single"/>
        </w:rPr>
        <w:t>Comments</w:t>
      </w:r>
      <w:r w:rsidRPr="001C7E93">
        <w:rPr>
          <w:b/>
          <w:bCs/>
          <w:sz w:val="28"/>
          <w:szCs w:val="28"/>
        </w:rPr>
        <w:t>:</w:t>
      </w:r>
      <w:r w:rsidR="00131EAD">
        <w:rPr>
          <w:sz w:val="28"/>
          <w:szCs w:val="28"/>
        </w:rPr>
        <w:tab/>
      </w:r>
      <w:r w:rsidR="00131EAD" w:rsidRPr="00941A07">
        <w:rPr>
          <w:sz w:val="28"/>
          <w:szCs w:val="28"/>
        </w:rPr>
        <w:t>If an appurtenance is stated by the mfg. as being part of the fan then the appurtenance should also meet the spark resistant construction requirement.</w:t>
      </w:r>
    </w:p>
    <w:p w14:paraId="26412981" w14:textId="7C7965E6" w:rsidR="00F85BC0" w:rsidRPr="009164E4" w:rsidRDefault="00F85BC0" w:rsidP="00F85BC0">
      <w:r w:rsidRPr="009164E4">
        <w:t xml:space="preserve"> </w:t>
      </w:r>
    </w:p>
    <w:sectPr w:rsidR="00F85BC0" w:rsidRPr="009164E4">
      <w:footerReference w:type="default" r:id="rId7"/>
      <w:pgSz w:w="12240" w:h="15840"/>
      <w:pgMar w:top="660" w:right="680" w:bottom="940" w:left="600" w:header="0" w:footer="7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AD714" w14:textId="77777777" w:rsidR="0091652B" w:rsidRDefault="0091652B">
      <w:r>
        <w:separator/>
      </w:r>
    </w:p>
  </w:endnote>
  <w:endnote w:type="continuationSeparator" w:id="0">
    <w:p w14:paraId="1B09FED7" w14:textId="77777777" w:rsidR="0091652B" w:rsidRDefault="00916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CB382" w14:textId="2A2D7894" w:rsidR="00C01049" w:rsidRDefault="009C63BF">
    <w:pPr>
      <w:pStyle w:val="BodyText"/>
      <w:spacing w:line="14" w:lineRule="auto"/>
    </w:pPr>
    <w:r>
      <w:rPr>
        <w:noProof/>
      </w:rPr>
      <mc:AlternateContent>
        <mc:Choice Requires="wps">
          <w:drawing>
            <wp:anchor distT="0" distB="0" distL="114300" distR="114300" simplePos="0" relativeHeight="251659264" behindDoc="1" locked="0" layoutInCell="1" allowOverlap="1" wp14:anchorId="3A67C261" wp14:editId="3767F4F7">
              <wp:simplePos x="0" y="0"/>
              <wp:positionH relativeFrom="page">
                <wp:posOffset>3036570</wp:posOffset>
              </wp:positionH>
              <wp:positionV relativeFrom="page">
                <wp:posOffset>9446895</wp:posOffset>
              </wp:positionV>
              <wp:extent cx="1734185" cy="167005"/>
              <wp:effectExtent l="0"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98E818" w14:textId="77777777" w:rsidR="00C01049" w:rsidRDefault="0089014A">
                          <w:pPr>
                            <w:pStyle w:val="BodyText"/>
                            <w:spacing w:before="12"/>
                            <w:ind w:left="20"/>
                          </w:pPr>
                          <w:r>
                            <w:t>ANSI/AMCA</w:t>
                          </w:r>
                          <w:r>
                            <w:rPr>
                              <w:spacing w:val="-5"/>
                            </w:rPr>
                            <w:t xml:space="preserve"> </w:t>
                          </w:r>
                          <w:r>
                            <w:t>Standard</w:t>
                          </w:r>
                          <w:r>
                            <w:rPr>
                              <w:spacing w:val="-6"/>
                            </w:rPr>
                            <w:t xml:space="preserve"> </w:t>
                          </w:r>
                          <w:r>
                            <w:t>99</w:t>
                          </w:r>
                          <w:r>
                            <w:rPr>
                              <w:spacing w:val="-4"/>
                            </w:rPr>
                            <w:t xml:space="preserve"> </w:t>
                          </w:r>
                          <w:r>
                            <w:t>|</w:t>
                          </w:r>
                          <w:r>
                            <w:rPr>
                              <w:spacing w:val="-5"/>
                            </w:rPr>
                            <w:t xml:space="preserve"> </w:t>
                          </w:r>
                          <w:r>
                            <w:rPr>
                              <w:spacing w:val="-5"/>
                            </w:rPr>
                            <w:fldChar w:fldCharType="begin"/>
                          </w:r>
                          <w:r>
                            <w:rPr>
                              <w:spacing w:val="-5"/>
                            </w:rPr>
                            <w:instrText xml:space="preserve"> PAGE </w:instrText>
                          </w:r>
                          <w:r>
                            <w:rPr>
                              <w:spacing w:val="-5"/>
                            </w:rPr>
                            <w:fldChar w:fldCharType="separate"/>
                          </w:r>
                          <w:r>
                            <w:rPr>
                              <w:spacing w:val="-5"/>
                            </w:rPr>
                            <w:t>50</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67C261" id="_x0000_t202" coordsize="21600,21600" o:spt="202" path="m,l,21600r21600,l21600,xe">
              <v:stroke joinstyle="miter"/>
              <v:path gradientshapeok="t" o:connecttype="rect"/>
            </v:shapetype>
            <v:shape id="Text Box 1" o:spid="_x0000_s1026" type="#_x0000_t202" style="position:absolute;margin-left:239.1pt;margin-top:743.85pt;width:136.55pt;height:13.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" filled="f" stroked="f">
              <v:textbox inset="0,0,0,0">
                <w:txbxContent>
                  <w:p w14:paraId="3998E818" w14:textId="77777777" w:rsidR="00C01049" w:rsidRDefault="0089014A">
                    <w:pPr>
                      <w:pStyle w:val="BodyText"/>
                      <w:spacing w:before="12"/>
                      <w:ind w:left="20"/>
                    </w:pPr>
                    <w:r>
                      <w:t>ANSI/AMCA</w:t>
                    </w:r>
                    <w:r>
                      <w:rPr>
                        <w:spacing w:val="-5"/>
                      </w:rPr>
                      <w:t xml:space="preserve"> </w:t>
                    </w:r>
                    <w:r>
                      <w:t>Standard</w:t>
                    </w:r>
                    <w:r>
                      <w:rPr>
                        <w:spacing w:val="-6"/>
                      </w:rPr>
                      <w:t xml:space="preserve"> </w:t>
                    </w:r>
                    <w:r>
                      <w:t>99</w:t>
                    </w:r>
                    <w:r>
                      <w:rPr>
                        <w:spacing w:val="-4"/>
                      </w:rPr>
                      <w:t xml:space="preserve"> </w:t>
                    </w:r>
                    <w:r>
                      <w:t>|</w:t>
                    </w:r>
                    <w:r>
                      <w:rPr>
                        <w:spacing w:val="-5"/>
                      </w:rPr>
                      <w:t xml:space="preserve"> </w:t>
                    </w:r>
                    <w:r>
                      <w:rPr>
                        <w:spacing w:val="-5"/>
                      </w:rPr>
                      <w:fldChar w:fldCharType="begin"/>
                    </w:r>
                    <w:r>
                      <w:rPr>
                        <w:spacing w:val="-5"/>
                      </w:rPr>
                      <w:instrText xml:space="preserve"> PAGE </w:instrText>
                    </w:r>
                    <w:r>
                      <w:rPr>
                        <w:spacing w:val="-5"/>
                      </w:rPr>
                      <w:fldChar w:fldCharType="separate"/>
                    </w:r>
                    <w:r>
                      <w:rPr>
                        <w:spacing w:val="-5"/>
                      </w:rPr>
                      <w:t>50</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A94F8" w14:textId="77777777" w:rsidR="0091652B" w:rsidRDefault="0091652B">
      <w:r>
        <w:separator/>
      </w:r>
    </w:p>
  </w:footnote>
  <w:footnote w:type="continuationSeparator" w:id="0">
    <w:p w14:paraId="09A93954" w14:textId="77777777" w:rsidR="0091652B" w:rsidRDefault="009165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45E76"/>
    <w:multiLevelType w:val="hybridMultilevel"/>
    <w:tmpl w:val="4B5A149A"/>
    <w:lvl w:ilvl="0" w:tplc="FD0A0A1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B6791B"/>
    <w:multiLevelType w:val="hybridMultilevel"/>
    <w:tmpl w:val="51BCF8B0"/>
    <w:lvl w:ilvl="0" w:tplc="386E49F2">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16cid:durableId="32464011">
    <w:abstractNumId w:val="1"/>
  </w:num>
  <w:num w:numId="2" w16cid:durableId="20083149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3BF"/>
    <w:rsid w:val="000450C8"/>
    <w:rsid w:val="00077617"/>
    <w:rsid w:val="00092A68"/>
    <w:rsid w:val="00131EAD"/>
    <w:rsid w:val="001C7E93"/>
    <w:rsid w:val="002043B6"/>
    <w:rsid w:val="00226400"/>
    <w:rsid w:val="002E48C5"/>
    <w:rsid w:val="00466EE4"/>
    <w:rsid w:val="00474728"/>
    <w:rsid w:val="004C762F"/>
    <w:rsid w:val="0059324C"/>
    <w:rsid w:val="005C2346"/>
    <w:rsid w:val="005D53C9"/>
    <w:rsid w:val="005F3602"/>
    <w:rsid w:val="00782275"/>
    <w:rsid w:val="007B25AE"/>
    <w:rsid w:val="007C1F14"/>
    <w:rsid w:val="007D6FA0"/>
    <w:rsid w:val="00822202"/>
    <w:rsid w:val="0089014A"/>
    <w:rsid w:val="008E54CA"/>
    <w:rsid w:val="008F0BFC"/>
    <w:rsid w:val="0091652B"/>
    <w:rsid w:val="00931F8D"/>
    <w:rsid w:val="00941A07"/>
    <w:rsid w:val="0094623E"/>
    <w:rsid w:val="009942F7"/>
    <w:rsid w:val="009A07EA"/>
    <w:rsid w:val="009C63BF"/>
    <w:rsid w:val="00A01D45"/>
    <w:rsid w:val="00A11A61"/>
    <w:rsid w:val="00A22CF6"/>
    <w:rsid w:val="00AD5A70"/>
    <w:rsid w:val="00B25FB1"/>
    <w:rsid w:val="00B47430"/>
    <w:rsid w:val="00BB53C6"/>
    <w:rsid w:val="00BC2269"/>
    <w:rsid w:val="00BC655F"/>
    <w:rsid w:val="00C5719E"/>
    <w:rsid w:val="00CA51EA"/>
    <w:rsid w:val="00CE04BD"/>
    <w:rsid w:val="00D2570A"/>
    <w:rsid w:val="00D53579"/>
    <w:rsid w:val="00D53D7D"/>
    <w:rsid w:val="00D856E7"/>
    <w:rsid w:val="00DC553E"/>
    <w:rsid w:val="00EE4593"/>
    <w:rsid w:val="00F85BC0"/>
    <w:rsid w:val="00FA4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4403B6"/>
  <w15:chartTrackingRefBased/>
  <w15:docId w15:val="{5CA1B514-A9AC-412C-9246-0A198FDBD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BC0"/>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C63BF"/>
    <w:rPr>
      <w:color w:val="0563C1" w:themeColor="hyperlink"/>
      <w:u w:val="single"/>
    </w:rPr>
  </w:style>
  <w:style w:type="paragraph" w:styleId="BodyText">
    <w:name w:val="Body Text"/>
    <w:basedOn w:val="Normal"/>
    <w:link w:val="BodyTextChar"/>
    <w:uiPriority w:val="1"/>
    <w:qFormat/>
    <w:rsid w:val="009C63BF"/>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sid w:val="009C63BF"/>
    <w:rPr>
      <w:rFonts w:ascii="Arial" w:eastAsia="Arial" w:hAnsi="Arial" w:cs="Arial"/>
      <w:sz w:val="20"/>
      <w:szCs w:val="20"/>
    </w:rPr>
  </w:style>
  <w:style w:type="paragraph" w:styleId="Title">
    <w:name w:val="Title"/>
    <w:basedOn w:val="Normal"/>
    <w:link w:val="TitleChar"/>
    <w:uiPriority w:val="10"/>
    <w:qFormat/>
    <w:rsid w:val="009C63BF"/>
    <w:pPr>
      <w:widowControl w:val="0"/>
      <w:autoSpaceDE w:val="0"/>
      <w:autoSpaceDN w:val="0"/>
      <w:spacing w:before="80"/>
      <w:ind w:left="547" w:hanging="428"/>
    </w:pPr>
    <w:rPr>
      <w:rFonts w:ascii="Arial Black" w:eastAsia="Arial Black" w:hAnsi="Arial Black" w:cs="Arial Black"/>
      <w:sz w:val="32"/>
      <w:szCs w:val="32"/>
    </w:rPr>
  </w:style>
  <w:style w:type="character" w:customStyle="1" w:styleId="TitleChar">
    <w:name w:val="Title Char"/>
    <w:basedOn w:val="DefaultParagraphFont"/>
    <w:link w:val="Title"/>
    <w:uiPriority w:val="10"/>
    <w:rsid w:val="009C63BF"/>
    <w:rPr>
      <w:rFonts w:ascii="Arial Black" w:eastAsia="Arial Black" w:hAnsi="Arial Black" w:cs="Arial Black"/>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Brooks</dc:creator>
  <cp:keywords/>
  <dc:description/>
  <cp:lastModifiedBy>Joseph Brooks</cp:lastModifiedBy>
  <cp:revision>13</cp:revision>
  <dcterms:created xsi:type="dcterms:W3CDTF">2023-05-19T16:43:00Z</dcterms:created>
  <dcterms:modified xsi:type="dcterms:W3CDTF">2023-05-19T16:52:00Z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41f6284-d86e-4efe-9f9d-22e96a445788_Enabled">
    <vt:lpwstr>true</vt:lpwstr>
  </property>
  <property fmtid="{D5CDD505-2E9C-101B-9397-08002B2CF9AE}" pid="3" name="MSIP_Label_041f6284-d86e-4efe-9f9d-22e96a445788_SetDate">
    <vt:lpwstr>2022-10-24T20:47:06Z</vt:lpwstr>
  </property>
  <property fmtid="{D5CDD505-2E9C-101B-9397-08002B2CF9AE}" pid="4" name="MSIP_Label_041f6284-d86e-4efe-9f9d-22e96a445788_Method">
    <vt:lpwstr>Standard</vt:lpwstr>
  </property>
  <property fmtid="{D5CDD505-2E9C-101B-9397-08002B2CF9AE}" pid="5" name="MSIP_Label_041f6284-d86e-4efe-9f9d-22e96a445788_Name">
    <vt:lpwstr>General</vt:lpwstr>
  </property>
  <property fmtid="{D5CDD505-2E9C-101B-9397-08002B2CF9AE}" pid="6" name="MSIP_Label_041f6284-d86e-4efe-9f9d-22e96a445788_SiteId">
    <vt:lpwstr>3f8023c3-9fee-49de-9ca4-136e4a3a9d19</vt:lpwstr>
  </property>
  <property fmtid="{D5CDD505-2E9C-101B-9397-08002B2CF9AE}" pid="7" name="MSIP_Label_041f6284-d86e-4efe-9f9d-22e96a445788_ActionId">
    <vt:lpwstr>872c4869-129d-40a7-83b8-623df49c490d</vt:lpwstr>
  </property>
  <property fmtid="{D5CDD505-2E9C-101B-9397-08002B2CF9AE}" pid="8" name="MSIP_Label_041f6284-d86e-4efe-9f9d-22e96a445788_ContentBits">
    <vt:lpwstr>0</vt:lpwstr>
  </property>
</Properties>
</file>