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C920" w14:textId="77777777" w:rsidR="00C34847" w:rsidRDefault="00C34847" w:rsidP="00C34847">
      <w:pPr>
        <w:jc w:val="center"/>
        <w:rPr>
          <w:b/>
          <w:sz w:val="28"/>
        </w:rPr>
      </w:pPr>
      <w:r>
        <w:rPr>
          <w:b/>
          <w:sz w:val="28"/>
        </w:rPr>
        <w:t xml:space="preserve">Interpretation of </w:t>
      </w:r>
    </w:p>
    <w:p w14:paraId="05D68E98" w14:textId="555C88AF" w:rsidR="00C34847" w:rsidRDefault="00C34847" w:rsidP="00C34847">
      <w:pPr>
        <w:jc w:val="center"/>
        <w:rPr>
          <w:b/>
          <w:sz w:val="28"/>
        </w:rPr>
      </w:pPr>
      <w:r>
        <w:rPr>
          <w:b/>
          <w:sz w:val="28"/>
        </w:rPr>
        <w:t>ANSI/AMCA Standard 204-2005</w:t>
      </w:r>
    </w:p>
    <w:p w14:paraId="7DB0248E" w14:textId="45B34386" w:rsidR="00B47430" w:rsidRDefault="00C34847" w:rsidP="00C34847">
      <w:pPr>
        <w:jc w:val="center"/>
        <w:rPr>
          <w:b/>
          <w:bCs/>
          <w:sz w:val="28"/>
          <w:szCs w:val="28"/>
        </w:rPr>
      </w:pPr>
      <w:r w:rsidRPr="00C34847">
        <w:rPr>
          <w:b/>
          <w:bCs/>
          <w:sz w:val="28"/>
          <w:szCs w:val="28"/>
        </w:rPr>
        <w:t>Balance Quality and Vibration Levels for Fans</w:t>
      </w:r>
    </w:p>
    <w:p w14:paraId="58F76DDD" w14:textId="25B43169" w:rsidR="004C5C7F" w:rsidRDefault="004C5C7F" w:rsidP="00C34847">
      <w:pPr>
        <w:jc w:val="center"/>
        <w:rPr>
          <w:b/>
          <w:bCs/>
          <w:sz w:val="28"/>
          <w:szCs w:val="28"/>
        </w:rPr>
      </w:pPr>
      <w:r>
        <w:rPr>
          <w:b/>
          <w:bCs/>
          <w:sz w:val="28"/>
          <w:szCs w:val="28"/>
        </w:rPr>
        <w:t>#1</w:t>
      </w:r>
    </w:p>
    <w:p w14:paraId="563896BC" w14:textId="77777777" w:rsidR="00C34847" w:rsidRDefault="00C34847" w:rsidP="00C34847">
      <w:pPr>
        <w:jc w:val="center"/>
        <w:rPr>
          <w:b/>
          <w:bCs/>
          <w:sz w:val="28"/>
          <w:szCs w:val="28"/>
        </w:rPr>
      </w:pPr>
    </w:p>
    <w:p w14:paraId="773EF3E3" w14:textId="731660FF" w:rsidR="00C34847" w:rsidRDefault="00C34847" w:rsidP="00C34847">
      <w:pPr>
        <w:jc w:val="center"/>
        <w:rPr>
          <w:sz w:val="28"/>
          <w:szCs w:val="28"/>
        </w:rPr>
      </w:pPr>
      <w:r>
        <w:rPr>
          <w:sz w:val="28"/>
          <w:szCs w:val="28"/>
        </w:rPr>
        <w:t>(Approved 8/05/2020)</w:t>
      </w:r>
    </w:p>
    <w:p w14:paraId="16D8A36E" w14:textId="77777777" w:rsidR="00C34847" w:rsidRDefault="00C34847" w:rsidP="00C34847">
      <w:pPr>
        <w:jc w:val="center"/>
        <w:rPr>
          <w:sz w:val="28"/>
          <w:szCs w:val="28"/>
        </w:rPr>
      </w:pPr>
    </w:p>
    <w:p w14:paraId="49C9E9B5" w14:textId="514BF5C8" w:rsidR="00C34847" w:rsidRDefault="00C34847" w:rsidP="004C5C7F">
      <w:pPr>
        <w:ind w:left="2160" w:hanging="2160"/>
        <w:rPr>
          <w:sz w:val="28"/>
          <w:szCs w:val="28"/>
        </w:rPr>
      </w:pPr>
      <w:r w:rsidRPr="00C34847">
        <w:rPr>
          <w:b/>
          <w:bCs/>
          <w:sz w:val="28"/>
          <w:szCs w:val="28"/>
        </w:rPr>
        <w:t>Request from</w:t>
      </w:r>
      <w:r>
        <w:rPr>
          <w:sz w:val="28"/>
          <w:szCs w:val="28"/>
        </w:rPr>
        <w:t>:</w:t>
      </w:r>
      <w:r>
        <w:rPr>
          <w:sz w:val="28"/>
          <w:szCs w:val="28"/>
        </w:rPr>
        <w:tab/>
        <w:t>Jeremiah Graaf, United Metal Products, Inc (UMP), 1920 E. Broadway Rd., Tempe, AZ    85282</w:t>
      </w:r>
    </w:p>
    <w:p w14:paraId="52976247" w14:textId="77777777" w:rsidR="004C5C7F" w:rsidRDefault="004C5C7F" w:rsidP="00C34847">
      <w:pPr>
        <w:rPr>
          <w:sz w:val="28"/>
          <w:szCs w:val="28"/>
        </w:rPr>
      </w:pPr>
    </w:p>
    <w:p w14:paraId="2859B4D3" w14:textId="2D155BF2" w:rsidR="004C5C7F" w:rsidRPr="004C5C7F" w:rsidRDefault="004C5C7F" w:rsidP="004C5C7F">
      <w:pPr>
        <w:ind w:left="2160" w:hanging="2160"/>
        <w:rPr>
          <w:b/>
          <w:bCs/>
          <w:sz w:val="28"/>
          <w:szCs w:val="28"/>
        </w:rPr>
      </w:pPr>
      <w:r w:rsidRPr="004C5C7F">
        <w:rPr>
          <w:b/>
          <w:bCs/>
          <w:sz w:val="28"/>
          <w:szCs w:val="28"/>
        </w:rPr>
        <w:t>Reference</w:t>
      </w:r>
      <w:r>
        <w:rPr>
          <w:b/>
          <w:bCs/>
          <w:sz w:val="28"/>
          <w:szCs w:val="28"/>
        </w:rPr>
        <w:t>:</w:t>
      </w:r>
      <w:r>
        <w:rPr>
          <w:b/>
          <w:bCs/>
          <w:sz w:val="28"/>
          <w:szCs w:val="28"/>
        </w:rPr>
        <w:tab/>
      </w:r>
      <w:r>
        <w:rPr>
          <w:bCs/>
          <w:sz w:val="28"/>
        </w:rPr>
        <w:t xml:space="preserve">The request for interpretations refers to the requirements presented in AMCA Standard 204-05, </w:t>
      </w:r>
      <w:r w:rsidR="002A6D05">
        <w:rPr>
          <w:bCs/>
          <w:sz w:val="28"/>
        </w:rPr>
        <w:t>B</w:t>
      </w:r>
      <w:r>
        <w:rPr>
          <w:bCs/>
          <w:sz w:val="28"/>
        </w:rPr>
        <w:t xml:space="preserve">alance Quality and Vibration Levels for Fans, </w:t>
      </w:r>
      <w:r w:rsidR="002A6D05">
        <w:rPr>
          <w:bCs/>
          <w:sz w:val="28"/>
        </w:rPr>
        <w:t>S</w:t>
      </w:r>
      <w:r>
        <w:rPr>
          <w:bCs/>
          <w:sz w:val="28"/>
        </w:rPr>
        <w:t>e</w:t>
      </w:r>
      <w:r w:rsidR="002A6D05">
        <w:rPr>
          <w:bCs/>
          <w:sz w:val="28"/>
        </w:rPr>
        <w:t>c</w:t>
      </w:r>
      <w:r>
        <w:rPr>
          <w:bCs/>
          <w:sz w:val="28"/>
        </w:rPr>
        <w:t>tions 6.3 and 6.4, Tables 6.2 and 6.3 relating to Factory Testing vs In-Situ Testing</w:t>
      </w:r>
    </w:p>
    <w:p w14:paraId="1D96FEDE" w14:textId="77777777" w:rsidR="004C5C7F" w:rsidRPr="00C34847" w:rsidRDefault="004C5C7F" w:rsidP="004C5C7F">
      <w:pPr>
        <w:rPr>
          <w:b/>
          <w:bCs/>
          <w:sz w:val="28"/>
          <w:szCs w:val="28"/>
        </w:rPr>
      </w:pPr>
    </w:p>
    <w:p w14:paraId="7A97B8AA" w14:textId="2BA8EC2F" w:rsidR="004C5C7F" w:rsidRPr="00C34847" w:rsidRDefault="004C5C7F" w:rsidP="004C5C7F">
      <w:pPr>
        <w:ind w:left="2160" w:hanging="2160"/>
        <w:rPr>
          <w:b/>
          <w:bCs/>
          <w:sz w:val="28"/>
          <w:szCs w:val="28"/>
        </w:rPr>
      </w:pPr>
      <w:r w:rsidRPr="00C34847">
        <w:rPr>
          <w:b/>
          <w:bCs/>
          <w:sz w:val="28"/>
          <w:szCs w:val="28"/>
        </w:rPr>
        <w:t>Background</w:t>
      </w:r>
      <w:r>
        <w:rPr>
          <w:b/>
          <w:bCs/>
          <w:sz w:val="28"/>
          <w:szCs w:val="28"/>
        </w:rPr>
        <w:t>:</w:t>
      </w:r>
      <w:r>
        <w:rPr>
          <w:b/>
          <w:bCs/>
          <w:sz w:val="28"/>
          <w:szCs w:val="28"/>
        </w:rPr>
        <w:tab/>
      </w:r>
      <w:r w:rsidRPr="004C5C7F">
        <w:rPr>
          <w:sz w:val="28"/>
          <w:szCs w:val="28"/>
        </w:rPr>
        <w:t>UMP is a manufacturer of air handlers. We also, for some products, assemble fans. Because of this, UMP is seen as a manufacturer of fans by our customers. However, we also purchase assembled fans and install them into our units.  AMCA 204-05 Table 6.2 states “Seismic Vibration Limits for Test Conducted at the Factory”.  In cases where we purchase the fans, there are now two factories involved, the fan manufacturer and the air handler manufacturer.  The</w:t>
      </w:r>
      <w:r>
        <w:t xml:space="preserve"> </w:t>
      </w:r>
      <w:r w:rsidRPr="004C5C7F">
        <w:rPr>
          <w:sz w:val="28"/>
          <w:szCs w:val="28"/>
        </w:rPr>
        <w:t>standard does not differentiate between factories or manufacturers.</w:t>
      </w:r>
      <w:r>
        <w:rPr>
          <w:b/>
          <w:bCs/>
          <w:sz w:val="28"/>
          <w:szCs w:val="28"/>
        </w:rPr>
        <w:tab/>
      </w:r>
    </w:p>
    <w:p w14:paraId="3AAE9564" w14:textId="77777777" w:rsidR="004C5C7F" w:rsidRDefault="004C5C7F" w:rsidP="004C5C7F">
      <w:pPr>
        <w:rPr>
          <w:sz w:val="28"/>
          <w:szCs w:val="28"/>
        </w:rPr>
      </w:pPr>
    </w:p>
    <w:p w14:paraId="56A5E735" w14:textId="3071EF7A" w:rsidR="004C5C7F" w:rsidRPr="004C5C7F" w:rsidRDefault="004C5C7F" w:rsidP="004C5C7F">
      <w:pPr>
        <w:ind w:left="2160" w:hanging="2160"/>
        <w:rPr>
          <w:sz w:val="28"/>
          <w:szCs w:val="28"/>
        </w:rPr>
      </w:pPr>
      <w:r w:rsidRPr="00C34847">
        <w:rPr>
          <w:b/>
          <w:bCs/>
          <w:sz w:val="28"/>
          <w:szCs w:val="28"/>
        </w:rPr>
        <w:t>Interpretation</w:t>
      </w:r>
      <w:r>
        <w:rPr>
          <w:sz w:val="28"/>
          <w:szCs w:val="28"/>
        </w:rPr>
        <w:t>:</w:t>
      </w:r>
      <w:r>
        <w:rPr>
          <w:sz w:val="28"/>
          <w:szCs w:val="28"/>
        </w:rPr>
        <w:tab/>
      </w:r>
      <w:r w:rsidRPr="004C5C7F">
        <w:rPr>
          <w:sz w:val="28"/>
          <w:szCs w:val="28"/>
        </w:rPr>
        <w:t>Our interpretation of the standard is that, if an air handler manufacturer purchases an assembled fan, then the fan manufacturer is held to the factory testing criteria and the air handler manufacturer is held to the in-situ testing criteria, since installation factors now influence the fan.</w:t>
      </w:r>
    </w:p>
    <w:p w14:paraId="651D41EC" w14:textId="77777777" w:rsidR="004C5C7F" w:rsidRDefault="004C5C7F" w:rsidP="004C5C7F">
      <w:pPr>
        <w:rPr>
          <w:sz w:val="28"/>
          <w:szCs w:val="28"/>
        </w:rPr>
      </w:pPr>
    </w:p>
    <w:p w14:paraId="414032DA" w14:textId="56EBABA9" w:rsidR="004C5C7F" w:rsidRDefault="004C5C7F" w:rsidP="004C5C7F">
      <w:pPr>
        <w:rPr>
          <w:sz w:val="16"/>
        </w:rPr>
      </w:pPr>
      <w:r w:rsidRPr="00C34847">
        <w:rPr>
          <w:b/>
          <w:bCs/>
          <w:sz w:val="28"/>
          <w:szCs w:val="28"/>
        </w:rPr>
        <w:t>Question:</w:t>
      </w:r>
      <w:r>
        <w:rPr>
          <w:b/>
          <w:bCs/>
          <w:sz w:val="28"/>
          <w:szCs w:val="28"/>
        </w:rPr>
        <w:tab/>
      </w:r>
      <w:r>
        <w:rPr>
          <w:b/>
          <w:bCs/>
          <w:sz w:val="28"/>
          <w:szCs w:val="28"/>
        </w:rPr>
        <w:tab/>
      </w:r>
      <w:r w:rsidRPr="004C5C7F">
        <w:rPr>
          <w:sz w:val="28"/>
          <w:szCs w:val="28"/>
        </w:rPr>
        <w:t>Is this Interpretation correct?</w:t>
      </w:r>
    </w:p>
    <w:p w14:paraId="23A9B0BE" w14:textId="77777777" w:rsidR="004C5C7F" w:rsidRDefault="004C5C7F" w:rsidP="004C5C7F">
      <w:pPr>
        <w:rPr>
          <w:sz w:val="28"/>
          <w:szCs w:val="28"/>
        </w:rPr>
      </w:pPr>
    </w:p>
    <w:p w14:paraId="08F46D23" w14:textId="77777777" w:rsidR="004C5C7F" w:rsidRPr="003767C1" w:rsidRDefault="004C5C7F" w:rsidP="004C5C7F">
      <w:r w:rsidRPr="00C34847">
        <w:rPr>
          <w:b/>
          <w:bCs/>
          <w:sz w:val="28"/>
          <w:szCs w:val="28"/>
        </w:rPr>
        <w:t>Answer:</w:t>
      </w:r>
      <w:r>
        <w:rPr>
          <w:b/>
          <w:bCs/>
          <w:sz w:val="28"/>
          <w:szCs w:val="28"/>
        </w:rPr>
        <w:tab/>
      </w:r>
      <w:r>
        <w:rPr>
          <w:b/>
          <w:bCs/>
          <w:sz w:val="28"/>
          <w:szCs w:val="28"/>
        </w:rPr>
        <w:tab/>
      </w:r>
      <w:r w:rsidRPr="004C5C7F">
        <w:rPr>
          <w:sz w:val="28"/>
          <w:szCs w:val="28"/>
        </w:rPr>
        <w:t>Interpretation is correct</w:t>
      </w:r>
      <w:r w:rsidRPr="003767C1">
        <w:t xml:space="preserve"> </w:t>
      </w:r>
    </w:p>
    <w:p w14:paraId="3FEE3A8C" w14:textId="240B7CF5" w:rsidR="004C5C7F" w:rsidRPr="00C34847" w:rsidRDefault="004C5C7F" w:rsidP="004C5C7F">
      <w:pPr>
        <w:rPr>
          <w:b/>
          <w:bCs/>
          <w:sz w:val="28"/>
          <w:szCs w:val="28"/>
        </w:rPr>
      </w:pPr>
    </w:p>
    <w:p w14:paraId="44216B69" w14:textId="2E7AD5C5" w:rsidR="004C5C7F" w:rsidRPr="00C34847" w:rsidRDefault="004C5C7F" w:rsidP="004C5C7F">
      <w:pPr>
        <w:rPr>
          <w:b/>
          <w:bCs/>
          <w:sz w:val="28"/>
          <w:szCs w:val="28"/>
        </w:rPr>
      </w:pPr>
      <w:r w:rsidRPr="00C34847">
        <w:rPr>
          <w:b/>
          <w:bCs/>
          <w:sz w:val="28"/>
          <w:szCs w:val="28"/>
        </w:rPr>
        <w:t>Comments:</w:t>
      </w:r>
      <w:r>
        <w:rPr>
          <w:b/>
          <w:bCs/>
          <w:sz w:val="28"/>
          <w:szCs w:val="28"/>
        </w:rPr>
        <w:tab/>
      </w:r>
      <w:r>
        <w:rPr>
          <w:b/>
          <w:bCs/>
          <w:sz w:val="28"/>
          <w:szCs w:val="28"/>
        </w:rPr>
        <w:tab/>
      </w:r>
      <w:r w:rsidRPr="004C5C7F">
        <w:rPr>
          <w:sz w:val="28"/>
          <w:szCs w:val="28"/>
        </w:rPr>
        <w:t>[None]</w:t>
      </w:r>
    </w:p>
    <w:p w14:paraId="21182C8D" w14:textId="77777777" w:rsidR="00C34847" w:rsidRDefault="00C34847" w:rsidP="00C34847">
      <w:pPr>
        <w:rPr>
          <w:sz w:val="28"/>
          <w:szCs w:val="28"/>
        </w:rPr>
      </w:pPr>
    </w:p>
    <w:sectPr w:rsidR="00C3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47"/>
    <w:rsid w:val="002A6D05"/>
    <w:rsid w:val="00336251"/>
    <w:rsid w:val="003E071E"/>
    <w:rsid w:val="004C5C7F"/>
    <w:rsid w:val="007C1F14"/>
    <w:rsid w:val="00B47430"/>
    <w:rsid w:val="00C34847"/>
    <w:rsid w:val="00CE04BD"/>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4A79"/>
  <w15:chartTrackingRefBased/>
  <w15:docId w15:val="{031C77A2-DA8F-4528-94EF-6CA2D7FA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7F"/>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Brooks</dc:creator>
  <cp:keywords/>
  <dc:description/>
  <cp:lastModifiedBy>Joseph Brooks</cp:lastModifiedBy>
  <cp:revision>5</cp:revision>
  <dcterms:created xsi:type="dcterms:W3CDTF">2023-05-19T20:51:00Z</dcterms:created>
  <dcterms:modified xsi:type="dcterms:W3CDTF">2023-05-19T20:53:00Z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1f6284-d86e-4efe-9f9d-22e96a445788_Enabled">
    <vt:lpwstr>true</vt:lpwstr>
  </property>
  <property fmtid="{D5CDD505-2E9C-101B-9397-08002B2CF9AE}" pid="3" name="MSIP_Label_041f6284-d86e-4efe-9f9d-22e96a445788_SetDate">
    <vt:lpwstr>2023-05-19T20:29:53Z</vt:lpwstr>
  </property>
  <property fmtid="{D5CDD505-2E9C-101B-9397-08002B2CF9AE}" pid="4" name="MSIP_Label_041f6284-d86e-4efe-9f9d-22e96a445788_Method">
    <vt:lpwstr>Standard</vt:lpwstr>
  </property>
  <property fmtid="{D5CDD505-2E9C-101B-9397-08002B2CF9AE}" pid="5" name="MSIP_Label_041f6284-d86e-4efe-9f9d-22e96a445788_Name">
    <vt:lpwstr>General</vt:lpwstr>
  </property>
  <property fmtid="{D5CDD505-2E9C-101B-9397-08002B2CF9AE}" pid="6" name="MSIP_Label_041f6284-d86e-4efe-9f9d-22e96a445788_SiteId">
    <vt:lpwstr>3f8023c3-9fee-49de-9ca4-136e4a3a9d19</vt:lpwstr>
  </property>
  <property fmtid="{D5CDD505-2E9C-101B-9397-08002B2CF9AE}" pid="7" name="MSIP_Label_041f6284-d86e-4efe-9f9d-22e96a445788_ActionId">
    <vt:lpwstr>fca6ee81-61c9-461c-9068-a4fd783c637c</vt:lpwstr>
  </property>
  <property fmtid="{D5CDD505-2E9C-101B-9397-08002B2CF9AE}" pid="8" name="MSIP_Label_041f6284-d86e-4efe-9f9d-22e96a445788_ContentBits">
    <vt:lpwstr>0</vt:lpwstr>
  </property>
</Properties>
</file>